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A521C" w14:textId="72D2C717" w:rsidR="00A069A7" w:rsidRPr="000534D7" w:rsidRDefault="007B4173" w:rsidP="00E60CEE">
      <w:pPr>
        <w:pStyle w:val="Heading2"/>
        <w:jc w:val="center"/>
        <w:rPr>
          <w:rFonts w:ascii="Calibri" w:hAnsi="Calibri" w:cs="Calibri"/>
          <w:i w:val="0"/>
        </w:rPr>
      </w:pPr>
      <w:bookmarkStart w:id="0" w:name="_Toc23172834"/>
      <w:r>
        <w:rPr>
          <w:rFonts w:ascii="Calibri" w:hAnsi="Calibri" w:cs="Calibri"/>
          <w:i w:val="0"/>
          <w:lang w:val="en-US"/>
        </w:rPr>
        <w:t>Attachment A</w:t>
      </w:r>
      <w:r w:rsidR="00A62055">
        <w:rPr>
          <w:rFonts w:ascii="Calibri" w:hAnsi="Calibri" w:cs="Calibri"/>
          <w:i w:val="0"/>
          <w:lang w:val="en-US"/>
        </w:rPr>
        <w:t xml:space="preserve"> </w:t>
      </w:r>
      <w:r>
        <w:rPr>
          <w:rFonts w:ascii="Calibri" w:hAnsi="Calibri" w:cs="Calibri"/>
          <w:i w:val="0"/>
          <w:lang w:val="en-US"/>
        </w:rPr>
        <w:t xml:space="preserve">- </w:t>
      </w:r>
      <w:r w:rsidR="00A069A7" w:rsidRPr="000534D7">
        <w:rPr>
          <w:rFonts w:ascii="Calibri" w:hAnsi="Calibri" w:cs="Calibri"/>
          <w:i w:val="0"/>
        </w:rPr>
        <w:t>Definitions</w:t>
      </w:r>
      <w:bookmarkEnd w:id="0"/>
    </w:p>
    <w:p w14:paraId="56ECB38B" w14:textId="1B2CBF35" w:rsidR="00A069A7" w:rsidRPr="002E3706" w:rsidRDefault="00A069A7" w:rsidP="00A069A7">
      <w:pPr>
        <w:spacing w:before="240" w:after="240"/>
        <w:ind w:firstLine="360"/>
        <w:rPr>
          <w:rFonts w:ascii="Calibri" w:hAnsi="Calibri" w:cs="Calibri"/>
          <w:b/>
          <w:sz w:val="22"/>
          <w:szCs w:val="22"/>
          <w:u w:val="single"/>
        </w:rPr>
      </w:pPr>
      <w:r w:rsidRPr="002E3706">
        <w:rPr>
          <w:rFonts w:ascii="Calibri" w:hAnsi="Calibri" w:cs="Calibri"/>
          <w:b/>
          <w:sz w:val="22"/>
          <w:szCs w:val="22"/>
          <w:u w:val="single"/>
        </w:rPr>
        <w:t>Definitions as Applied to Terms used in this RFP</w:t>
      </w:r>
      <w:r w:rsidR="00A62055">
        <w:rPr>
          <w:rFonts w:ascii="Calibri" w:hAnsi="Calibri" w:cs="Calibri"/>
          <w:b/>
          <w:sz w:val="22"/>
          <w:szCs w:val="22"/>
          <w:u w:val="single"/>
        </w:rPr>
        <w:t>:</w:t>
      </w:r>
    </w:p>
    <w:p w14:paraId="51B0BE40" w14:textId="77777777" w:rsidR="00A069A7" w:rsidRPr="000534D7" w:rsidRDefault="00A069A7" w:rsidP="00A069A7">
      <w:pPr>
        <w:spacing w:before="240" w:after="240"/>
        <w:ind w:left="360"/>
        <w:rPr>
          <w:rFonts w:ascii="Calibri" w:hAnsi="Calibri" w:cs="Calibri"/>
          <w:sz w:val="22"/>
          <w:szCs w:val="22"/>
        </w:rPr>
      </w:pPr>
      <w:r w:rsidRPr="000534D7">
        <w:rPr>
          <w:rFonts w:ascii="Calibri" w:hAnsi="Calibri" w:cs="Calibri"/>
          <w:b/>
          <w:sz w:val="22"/>
          <w:szCs w:val="22"/>
        </w:rPr>
        <w:t xml:space="preserve">Benefit Cost Analysis (BCA):   </w:t>
      </w:r>
      <w:r w:rsidRPr="000534D7">
        <w:rPr>
          <w:rFonts w:ascii="Calibri" w:hAnsi="Calibri" w:cs="Calibri"/>
          <w:sz w:val="22"/>
          <w:szCs w:val="22"/>
        </w:rPr>
        <w:t>A</w:t>
      </w:r>
      <w:r w:rsidRPr="000534D7">
        <w:rPr>
          <w:rFonts w:ascii="Calibri" w:hAnsi="Calibri" w:cs="Calibri"/>
          <w:b/>
          <w:sz w:val="22"/>
          <w:szCs w:val="22"/>
        </w:rPr>
        <w:t xml:space="preserve"> </w:t>
      </w:r>
      <w:r w:rsidRPr="000534D7">
        <w:rPr>
          <w:rFonts w:ascii="Calibri" w:hAnsi="Calibri" w:cs="Calibri"/>
          <w:sz w:val="22"/>
          <w:szCs w:val="22"/>
        </w:rPr>
        <w:t xml:space="preserve">calculation of the benefits and costs of potential projects and investments associated with proposed Non-Pipeline Alternatives to weigh the relative value to the Companies’ ratepayers, society and the Company of Non-Pipeline Alternatives proposed by </w:t>
      </w:r>
      <w:r w:rsidRPr="005D5535">
        <w:rPr>
          <w:rFonts w:ascii="Calibri" w:hAnsi="Calibri" w:cs="Calibri"/>
          <w:sz w:val="22"/>
          <w:szCs w:val="22"/>
        </w:rPr>
        <w:t>Bidder</w:t>
      </w:r>
      <w:r>
        <w:rPr>
          <w:rFonts w:ascii="Calibri" w:hAnsi="Calibri" w:cs="Calibri"/>
          <w:sz w:val="22"/>
          <w:szCs w:val="22"/>
        </w:rPr>
        <w:t>s</w:t>
      </w:r>
      <w:r w:rsidRPr="000534D7">
        <w:rPr>
          <w:rFonts w:ascii="Calibri" w:hAnsi="Calibri" w:cs="Calibri"/>
          <w:sz w:val="22"/>
          <w:szCs w:val="22"/>
        </w:rPr>
        <w:t>.</w:t>
      </w:r>
    </w:p>
    <w:p w14:paraId="047F8687" w14:textId="77777777" w:rsidR="00A069A7" w:rsidRDefault="00A069A7" w:rsidP="00A069A7">
      <w:pPr>
        <w:autoSpaceDE w:val="0"/>
        <w:autoSpaceDN w:val="0"/>
        <w:adjustRightInd w:val="0"/>
        <w:spacing w:before="240" w:after="240"/>
        <w:ind w:left="360"/>
        <w:rPr>
          <w:rFonts w:ascii="Calibri" w:hAnsi="Calibri" w:cs="Calibri"/>
          <w:sz w:val="22"/>
          <w:szCs w:val="22"/>
        </w:rPr>
      </w:pPr>
      <w:r w:rsidRPr="00DD7B7A">
        <w:rPr>
          <w:rFonts w:ascii="Calibri" w:hAnsi="Calibri" w:cs="Calibri"/>
          <w:b/>
          <w:sz w:val="22"/>
          <w:szCs w:val="22"/>
        </w:rPr>
        <w:t>Bidder</w:t>
      </w:r>
      <w:r w:rsidRPr="000534D7">
        <w:rPr>
          <w:rFonts w:ascii="Calibri" w:hAnsi="Calibri" w:cs="Calibri"/>
          <w:b/>
          <w:sz w:val="22"/>
          <w:szCs w:val="22"/>
        </w:rPr>
        <w:t>:</w:t>
      </w:r>
      <w:r w:rsidRPr="000534D7">
        <w:rPr>
          <w:rFonts w:ascii="Calibri" w:hAnsi="Calibri" w:cs="Calibri"/>
          <w:sz w:val="22"/>
          <w:szCs w:val="22"/>
        </w:rPr>
        <w:t xml:space="preserve">  A person and/or entity, or a representative thereof, replying to this RFP.</w:t>
      </w:r>
    </w:p>
    <w:p w14:paraId="6783ECD7" w14:textId="2F5C7428" w:rsidR="00F77EC5" w:rsidRPr="000534D7" w:rsidRDefault="00F77EC5" w:rsidP="00A069A7">
      <w:pPr>
        <w:autoSpaceDE w:val="0"/>
        <w:autoSpaceDN w:val="0"/>
        <w:adjustRightInd w:val="0"/>
        <w:spacing w:before="240" w:after="240"/>
        <w:ind w:left="360"/>
        <w:rPr>
          <w:rFonts w:ascii="Calibri" w:hAnsi="Calibri" w:cs="Calibri"/>
          <w:sz w:val="22"/>
          <w:szCs w:val="22"/>
        </w:rPr>
      </w:pPr>
      <w:r>
        <w:rPr>
          <w:rFonts w:ascii="Calibri" w:hAnsi="Calibri" w:cs="Calibri"/>
          <w:b/>
          <w:sz w:val="22"/>
          <w:szCs w:val="22"/>
        </w:rPr>
        <w:t>BTU:</w:t>
      </w:r>
      <w:r>
        <w:rPr>
          <w:rFonts w:ascii="Calibri" w:hAnsi="Calibri" w:cs="Calibri"/>
          <w:sz w:val="22"/>
          <w:szCs w:val="22"/>
        </w:rPr>
        <w:t xml:space="preserve"> British Thermal Unit. 1,000,000 BTUs per hour is approximately equivalent to 1 </w:t>
      </w:r>
      <w:proofErr w:type="spellStart"/>
      <w:r>
        <w:rPr>
          <w:rFonts w:ascii="Calibri" w:hAnsi="Calibri" w:cs="Calibri"/>
          <w:sz w:val="22"/>
          <w:szCs w:val="22"/>
        </w:rPr>
        <w:t>Mcfh</w:t>
      </w:r>
      <w:proofErr w:type="spellEnd"/>
      <w:r>
        <w:rPr>
          <w:rFonts w:ascii="Calibri" w:hAnsi="Calibri" w:cs="Calibri"/>
          <w:sz w:val="22"/>
          <w:szCs w:val="22"/>
        </w:rPr>
        <w:t>.</w:t>
      </w:r>
    </w:p>
    <w:p w14:paraId="2B58A463" w14:textId="77777777" w:rsidR="00A069A7" w:rsidRPr="000534D7" w:rsidRDefault="00A069A7" w:rsidP="00A069A7">
      <w:pPr>
        <w:spacing w:before="240" w:after="240"/>
        <w:ind w:left="360"/>
        <w:rPr>
          <w:rFonts w:ascii="Calibri" w:hAnsi="Calibri" w:cs="Calibri"/>
        </w:rPr>
      </w:pPr>
      <w:r w:rsidRPr="000534D7">
        <w:rPr>
          <w:rFonts w:ascii="Calibri" w:hAnsi="Calibri" w:cs="Calibri"/>
          <w:b/>
          <w:sz w:val="22"/>
          <w:szCs w:val="22"/>
        </w:rPr>
        <w:t>Compressed Natural Gas (CNG):</w:t>
      </w:r>
      <w:r w:rsidRPr="000534D7">
        <w:rPr>
          <w:rFonts w:ascii="Calibri" w:hAnsi="Calibri" w:cs="Calibri"/>
          <w:sz w:val="22"/>
          <w:szCs w:val="22"/>
        </w:rPr>
        <w:t xml:space="preserve">  Natural gas in high pressure containers that is highly compressed (though not the point of liquefaction) that can be used as a transportation fuel or as an alternative source of supply when injected into the natural gas Distribution System, and that can be transported overland from the point of compression to the point of injection in high pressure containers, or compressed and stored on site for injection in the Distribution System at a later time.</w:t>
      </w:r>
    </w:p>
    <w:p w14:paraId="02A73E6A" w14:textId="439F371B" w:rsidR="00A069A7" w:rsidRPr="000534D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Dekatherm (</w:t>
      </w:r>
      <w:proofErr w:type="spellStart"/>
      <w:r w:rsidRPr="000534D7">
        <w:rPr>
          <w:rFonts w:ascii="Calibri" w:hAnsi="Calibri" w:cs="Calibri"/>
          <w:b/>
          <w:sz w:val="22"/>
          <w:szCs w:val="22"/>
        </w:rPr>
        <w:t>Dth</w:t>
      </w:r>
      <w:proofErr w:type="spellEnd"/>
      <w:r w:rsidRPr="000534D7">
        <w:rPr>
          <w:rFonts w:ascii="Calibri" w:hAnsi="Calibri" w:cs="Calibri"/>
          <w:b/>
          <w:sz w:val="22"/>
          <w:szCs w:val="22"/>
        </w:rPr>
        <w:t xml:space="preserve">):  </w:t>
      </w:r>
      <w:r w:rsidRPr="000534D7">
        <w:rPr>
          <w:rFonts w:ascii="Calibri" w:hAnsi="Calibri" w:cs="Calibri"/>
          <w:sz w:val="22"/>
          <w:szCs w:val="22"/>
        </w:rPr>
        <w:t>A unit of heating value equivalent to 10 Therms or 1,000,000 British Thermal Units (Btu</w:t>
      </w:r>
      <w:r w:rsidR="00085FE0">
        <w:rPr>
          <w:rFonts w:ascii="Calibri" w:hAnsi="Calibri" w:cs="Calibri"/>
          <w:sz w:val="22"/>
          <w:szCs w:val="22"/>
        </w:rPr>
        <w:t>s</w:t>
      </w:r>
      <w:r w:rsidRPr="000534D7">
        <w:rPr>
          <w:rFonts w:ascii="Calibri" w:hAnsi="Calibri" w:cs="Calibri"/>
          <w:sz w:val="22"/>
          <w:szCs w:val="22"/>
        </w:rPr>
        <w:t>) that is typically used as a measure of the energy content of natural gas and that is also the unit of purchase for most natural gas.</w:t>
      </w:r>
    </w:p>
    <w:p w14:paraId="651210D1" w14:textId="0236C2D3" w:rsidR="00A069A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Demand:</w:t>
      </w:r>
      <w:r w:rsidRPr="000534D7">
        <w:rPr>
          <w:rFonts w:ascii="Calibri" w:hAnsi="Calibri" w:cs="Calibri"/>
          <w:sz w:val="22"/>
          <w:szCs w:val="22"/>
        </w:rPr>
        <w:t xml:space="preserve">  The level of need for natural gas at a specific location or customer end use.</w:t>
      </w:r>
    </w:p>
    <w:p w14:paraId="09DCCDA1" w14:textId="7D9C2C5D" w:rsidR="00763947" w:rsidRPr="000534D7" w:rsidRDefault="00763947" w:rsidP="00A069A7">
      <w:pPr>
        <w:autoSpaceDE w:val="0"/>
        <w:autoSpaceDN w:val="0"/>
        <w:adjustRightInd w:val="0"/>
        <w:spacing w:before="240" w:after="240"/>
        <w:ind w:left="360"/>
        <w:rPr>
          <w:rFonts w:ascii="Calibri" w:hAnsi="Calibri" w:cs="Calibri"/>
          <w:sz w:val="22"/>
          <w:szCs w:val="22"/>
        </w:rPr>
      </w:pPr>
      <w:r>
        <w:rPr>
          <w:rFonts w:ascii="Calibri" w:hAnsi="Calibri" w:cs="Calibri"/>
          <w:b/>
          <w:sz w:val="22"/>
          <w:szCs w:val="22"/>
        </w:rPr>
        <w:t>Design Day:</w:t>
      </w:r>
      <w:r>
        <w:rPr>
          <w:rFonts w:ascii="Calibri" w:hAnsi="Calibri" w:cs="Calibri"/>
          <w:sz w:val="22"/>
          <w:szCs w:val="22"/>
        </w:rPr>
        <w:t xml:space="preserve">  A day where the average temperature equals minus ten degrees Fahrenheit and is used by NYSEG for planning purposes to determine what a</w:t>
      </w:r>
      <w:bookmarkStart w:id="1" w:name="_GoBack"/>
      <w:bookmarkEnd w:id="1"/>
      <w:r>
        <w:rPr>
          <w:rFonts w:ascii="Calibri" w:hAnsi="Calibri" w:cs="Calibri"/>
          <w:sz w:val="22"/>
          <w:szCs w:val="22"/>
        </w:rPr>
        <w:t>ssets mu</w:t>
      </w:r>
      <w:r w:rsidR="005F44B0">
        <w:rPr>
          <w:rFonts w:ascii="Calibri" w:hAnsi="Calibri" w:cs="Calibri"/>
          <w:sz w:val="22"/>
          <w:szCs w:val="22"/>
        </w:rPr>
        <w:t>st</w:t>
      </w:r>
      <w:r>
        <w:rPr>
          <w:rFonts w:ascii="Calibri" w:hAnsi="Calibri" w:cs="Calibri"/>
          <w:sz w:val="22"/>
          <w:szCs w:val="22"/>
        </w:rPr>
        <w:t xml:space="preserve"> be acquired to meet the highest expected customer demand.</w:t>
      </w:r>
    </w:p>
    <w:p w14:paraId="011C177F" w14:textId="77777777" w:rsidR="00A069A7" w:rsidRPr="000534D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Distribution System:</w:t>
      </w:r>
      <w:r w:rsidRPr="000534D7">
        <w:rPr>
          <w:rFonts w:ascii="Calibri" w:hAnsi="Calibri" w:cs="Calibri"/>
          <w:sz w:val="22"/>
          <w:szCs w:val="22"/>
        </w:rPr>
        <w:t xml:space="preserve">  NYSEG’s natural gas distribution mains and services. </w:t>
      </w:r>
    </w:p>
    <w:p w14:paraId="2DBE0707" w14:textId="77777777" w:rsidR="00A069A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Liquefied Natural Gas (LNG</w:t>
      </w:r>
      <w:r w:rsidRPr="000534D7">
        <w:rPr>
          <w:rFonts w:ascii="Calibri" w:hAnsi="Calibri" w:cs="Calibri"/>
          <w:sz w:val="22"/>
          <w:szCs w:val="22"/>
        </w:rPr>
        <w:t>):   Natural gas that has been liquefied by reducing its temperature to minus 260</w:t>
      </w:r>
      <w:r w:rsidRPr="000534D7">
        <w:rPr>
          <w:rFonts w:ascii="Calibri" w:hAnsi="Calibri" w:cs="Calibri"/>
          <w:sz w:val="22"/>
          <w:szCs w:val="22"/>
          <w:vertAlign w:val="superscript"/>
        </w:rPr>
        <w:t xml:space="preserve">o </w:t>
      </w:r>
      <w:r w:rsidRPr="000534D7">
        <w:rPr>
          <w:rFonts w:ascii="Calibri" w:hAnsi="Calibri" w:cs="Calibri"/>
          <w:sz w:val="22"/>
          <w:szCs w:val="22"/>
        </w:rPr>
        <w:t xml:space="preserve">F at atmospheric pressure. LNG can be transported overland from the point of liquefaction to the point of injection in cryogenic </w:t>
      </w:r>
      <w:r w:rsidR="007B4173" w:rsidRPr="000534D7">
        <w:rPr>
          <w:rFonts w:ascii="Calibri" w:hAnsi="Calibri" w:cs="Calibri"/>
          <w:sz w:val="22"/>
          <w:szCs w:val="22"/>
        </w:rPr>
        <w:t>containers or</w:t>
      </w:r>
      <w:r w:rsidRPr="000534D7">
        <w:rPr>
          <w:rFonts w:ascii="Calibri" w:hAnsi="Calibri" w:cs="Calibri"/>
          <w:sz w:val="22"/>
          <w:szCs w:val="22"/>
        </w:rPr>
        <w:t xml:space="preserve"> can be liquefied and stored on site for vaporization and injection in the Distribution System at a later time. LNG remains a liquid at minus 116</w:t>
      </w:r>
      <w:r w:rsidRPr="000534D7">
        <w:rPr>
          <w:rFonts w:ascii="Calibri" w:hAnsi="Calibri" w:cs="Calibri"/>
          <w:sz w:val="22"/>
          <w:szCs w:val="22"/>
          <w:vertAlign w:val="superscript"/>
        </w:rPr>
        <w:t>o</w:t>
      </w:r>
      <w:r w:rsidRPr="000534D7">
        <w:rPr>
          <w:rFonts w:ascii="Calibri" w:hAnsi="Calibri" w:cs="Calibri"/>
          <w:sz w:val="22"/>
          <w:szCs w:val="22"/>
        </w:rPr>
        <w:t xml:space="preserve"> F and 673 psig; in volume, it occupies 1/600 of that of the vapor at standard conditions; it can be used as a transportation fuel or as an alternative source of supply when vaporized and injected into the transmission or distribution gas system.</w:t>
      </w:r>
    </w:p>
    <w:p w14:paraId="6E20719B" w14:textId="77777777" w:rsidR="00A069A7" w:rsidRPr="000534D7" w:rsidRDefault="00A069A7" w:rsidP="00A069A7">
      <w:pPr>
        <w:autoSpaceDE w:val="0"/>
        <w:autoSpaceDN w:val="0"/>
        <w:adjustRightInd w:val="0"/>
        <w:spacing w:before="240" w:after="240"/>
        <w:ind w:left="360"/>
        <w:rPr>
          <w:rFonts w:ascii="Calibri" w:hAnsi="Calibri" w:cs="Calibri"/>
          <w:b/>
          <w:sz w:val="22"/>
          <w:szCs w:val="22"/>
        </w:rPr>
      </w:pPr>
      <w:proofErr w:type="spellStart"/>
      <w:r w:rsidRPr="000534D7">
        <w:rPr>
          <w:rFonts w:ascii="Calibri" w:hAnsi="Calibri" w:cs="Calibri"/>
          <w:b/>
          <w:sz w:val="22"/>
          <w:szCs w:val="22"/>
        </w:rPr>
        <w:t>Mcfh</w:t>
      </w:r>
      <w:proofErr w:type="spellEnd"/>
      <w:r w:rsidRPr="000534D7">
        <w:rPr>
          <w:rFonts w:ascii="Calibri" w:hAnsi="Calibri" w:cs="Calibri"/>
          <w:b/>
          <w:sz w:val="22"/>
          <w:szCs w:val="22"/>
        </w:rPr>
        <w:t xml:space="preserve">: </w:t>
      </w:r>
      <w:r w:rsidRPr="000534D7">
        <w:rPr>
          <w:rFonts w:ascii="Calibri" w:hAnsi="Calibri" w:cs="Calibri"/>
          <w:sz w:val="22"/>
          <w:szCs w:val="22"/>
        </w:rPr>
        <w:t xml:space="preserve">One Thousand Cubic Feet per Hour. In this definition, one </w:t>
      </w:r>
      <w:proofErr w:type="spellStart"/>
      <w:r w:rsidRPr="000534D7">
        <w:rPr>
          <w:rFonts w:ascii="Calibri" w:hAnsi="Calibri" w:cs="Calibri"/>
          <w:sz w:val="22"/>
          <w:szCs w:val="22"/>
        </w:rPr>
        <w:t>Mcfh</w:t>
      </w:r>
      <w:proofErr w:type="spellEnd"/>
      <w:r w:rsidRPr="000534D7">
        <w:rPr>
          <w:rFonts w:ascii="Calibri" w:hAnsi="Calibri" w:cs="Calibri"/>
          <w:sz w:val="22"/>
          <w:szCs w:val="22"/>
        </w:rPr>
        <w:t xml:space="preserve"> is the measurement of the amount of gas flowed or used in a one-hour period, in MCF units.</w:t>
      </w:r>
    </w:p>
    <w:p w14:paraId="6DB33962" w14:textId="77777777" w:rsidR="00A069A7" w:rsidRPr="000534D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Measure:</w:t>
      </w:r>
      <w:r w:rsidRPr="000534D7">
        <w:rPr>
          <w:rFonts w:ascii="Calibri" w:hAnsi="Calibri" w:cs="Calibri"/>
          <w:sz w:val="22"/>
          <w:szCs w:val="22"/>
        </w:rPr>
        <w:t xml:space="preserve">  Individual Non-Pipeline Alternative units included by a </w:t>
      </w:r>
      <w:r w:rsidRPr="005D5535">
        <w:rPr>
          <w:rFonts w:ascii="Calibri" w:hAnsi="Calibri" w:cs="Calibri"/>
          <w:sz w:val="22"/>
          <w:szCs w:val="22"/>
        </w:rPr>
        <w:t xml:space="preserve">Bidder </w:t>
      </w:r>
      <w:r w:rsidRPr="000534D7">
        <w:rPr>
          <w:rFonts w:ascii="Calibri" w:hAnsi="Calibri" w:cs="Calibri"/>
          <w:sz w:val="22"/>
          <w:szCs w:val="22"/>
        </w:rPr>
        <w:t>in a Proposal to this RFP.</w:t>
      </w:r>
    </w:p>
    <w:p w14:paraId="0FAD66C1" w14:textId="08E0DC61" w:rsidR="00A069A7" w:rsidRPr="000534D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Non-Pipeline Alternative (NPA):</w:t>
      </w:r>
      <w:r w:rsidRPr="000534D7">
        <w:rPr>
          <w:rFonts w:ascii="Calibri" w:hAnsi="Calibri" w:cs="Calibri"/>
          <w:sz w:val="22"/>
          <w:szCs w:val="22"/>
        </w:rPr>
        <w:t xml:space="preserve">  A reduction in gas demand or increase in gas or gas equivalent supply (whether a single project or a portfolio of multiple projects) that has the effect of reducing the natural gas demand at a specific point in NYSEG’s natural gas Distribution System, and thus allowing the deferral of specific distribution system infrastructure construction. </w:t>
      </w:r>
    </w:p>
    <w:p w14:paraId="0A4BC139" w14:textId="46FA0FA3" w:rsidR="00A069A7" w:rsidRPr="000534D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lastRenderedPageBreak/>
        <w:t>Peak Day:</w:t>
      </w:r>
      <w:r w:rsidRPr="000534D7">
        <w:rPr>
          <w:rFonts w:ascii="Calibri" w:hAnsi="Calibri" w:cs="Calibri"/>
          <w:sz w:val="22"/>
          <w:szCs w:val="22"/>
        </w:rPr>
        <w:t xml:space="preserve">  The coldest day to which NYSEG plans its natural gas distribution system to meet the needs of customers</w:t>
      </w:r>
      <w:r w:rsidR="00763947">
        <w:rPr>
          <w:rFonts w:ascii="Calibri" w:hAnsi="Calibri" w:cs="Calibri"/>
          <w:sz w:val="22"/>
          <w:szCs w:val="22"/>
        </w:rPr>
        <w:t xml:space="preserve"> in a given winter</w:t>
      </w:r>
      <w:r w:rsidRPr="000534D7">
        <w:rPr>
          <w:rFonts w:ascii="Calibri" w:hAnsi="Calibri" w:cs="Calibri"/>
          <w:sz w:val="22"/>
          <w:szCs w:val="22"/>
        </w:rPr>
        <w:t>.</w:t>
      </w:r>
      <w:r w:rsidR="00763947">
        <w:rPr>
          <w:rFonts w:ascii="Calibri" w:hAnsi="Calibri" w:cs="Calibri"/>
          <w:sz w:val="22"/>
          <w:szCs w:val="22"/>
        </w:rPr>
        <w:t xml:space="preserve">  </w:t>
      </w:r>
    </w:p>
    <w:p w14:paraId="174069A6" w14:textId="2D343E7A" w:rsidR="00A069A7" w:rsidRPr="000534D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Proposal:</w:t>
      </w:r>
      <w:r w:rsidRPr="000534D7">
        <w:rPr>
          <w:rFonts w:ascii="Calibri" w:hAnsi="Calibri" w:cs="Calibri"/>
          <w:sz w:val="22"/>
          <w:szCs w:val="22"/>
        </w:rPr>
        <w:t xml:space="preserve">  A package submitted to NYSEG by a </w:t>
      </w:r>
      <w:r w:rsidRPr="005D5535">
        <w:rPr>
          <w:rFonts w:ascii="Calibri" w:hAnsi="Calibri" w:cs="Calibri"/>
          <w:sz w:val="22"/>
          <w:szCs w:val="22"/>
        </w:rPr>
        <w:t xml:space="preserve">Bidder </w:t>
      </w:r>
      <w:r w:rsidRPr="000534D7">
        <w:rPr>
          <w:rFonts w:ascii="Calibri" w:hAnsi="Calibri" w:cs="Calibri"/>
          <w:sz w:val="22"/>
          <w:szCs w:val="22"/>
        </w:rPr>
        <w:t xml:space="preserve">that explains </w:t>
      </w:r>
      <w:r w:rsidRPr="005D5535">
        <w:rPr>
          <w:rFonts w:ascii="Calibri" w:hAnsi="Calibri" w:cs="Calibri"/>
          <w:sz w:val="22"/>
          <w:szCs w:val="22"/>
        </w:rPr>
        <w:t>Bidder</w:t>
      </w:r>
      <w:r>
        <w:rPr>
          <w:rFonts w:ascii="Calibri" w:hAnsi="Calibri" w:cs="Calibri"/>
          <w:sz w:val="22"/>
          <w:szCs w:val="22"/>
        </w:rPr>
        <w:t>’s</w:t>
      </w:r>
      <w:r w:rsidRPr="005D5535">
        <w:rPr>
          <w:rFonts w:ascii="Calibri" w:hAnsi="Calibri" w:cs="Calibri"/>
          <w:sz w:val="22"/>
          <w:szCs w:val="22"/>
        </w:rPr>
        <w:t xml:space="preserve"> </w:t>
      </w:r>
      <w:r w:rsidRPr="000534D7">
        <w:rPr>
          <w:rFonts w:ascii="Calibri" w:hAnsi="Calibri" w:cs="Calibri"/>
          <w:sz w:val="22"/>
          <w:szCs w:val="22"/>
        </w:rPr>
        <w:t>Non-Pipeline Alternative and that complies with all requirements outlined in this RFP</w:t>
      </w:r>
      <w:r w:rsidR="00F77EC5">
        <w:rPr>
          <w:rFonts w:ascii="Calibri" w:hAnsi="Calibri" w:cs="Calibri"/>
          <w:sz w:val="22"/>
          <w:szCs w:val="22"/>
        </w:rPr>
        <w:t>.</w:t>
      </w:r>
    </w:p>
    <w:p w14:paraId="1D21B2CA" w14:textId="77777777" w:rsidR="00A069A7" w:rsidRPr="000534D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 xml:space="preserve">Renewable Natural Gas (RNG):  </w:t>
      </w:r>
      <w:r w:rsidRPr="000534D7">
        <w:rPr>
          <w:rFonts w:ascii="Calibri" w:hAnsi="Calibri" w:cs="Calibri"/>
          <w:sz w:val="22"/>
          <w:szCs w:val="22"/>
        </w:rPr>
        <w:t>A form of methane usable as fuel that comes from organic sources such as landfill waste, agricultural residue and fermented waste from food and beverage manufacturing.</w:t>
      </w:r>
    </w:p>
    <w:p w14:paraId="30D4ACAD" w14:textId="4B7FC171" w:rsidR="00A069A7" w:rsidRPr="000534D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Therm:</w:t>
      </w:r>
      <w:r w:rsidRPr="000534D7">
        <w:rPr>
          <w:rFonts w:ascii="Calibri" w:hAnsi="Calibri" w:cs="Calibri"/>
          <w:sz w:val="22"/>
          <w:szCs w:val="22"/>
        </w:rPr>
        <w:t xml:space="preserve">  A unit of heating value equivalent to 100,000 British thermal Units (Btu</w:t>
      </w:r>
      <w:r w:rsidR="003623C1">
        <w:rPr>
          <w:rFonts w:ascii="Calibri" w:hAnsi="Calibri" w:cs="Calibri"/>
          <w:sz w:val="22"/>
          <w:szCs w:val="22"/>
        </w:rPr>
        <w:t>s</w:t>
      </w:r>
      <w:r w:rsidRPr="000534D7">
        <w:rPr>
          <w:rFonts w:ascii="Calibri" w:hAnsi="Calibri" w:cs="Calibri"/>
          <w:sz w:val="22"/>
          <w:szCs w:val="22"/>
        </w:rPr>
        <w:t>).</w:t>
      </w:r>
    </w:p>
    <w:p w14:paraId="69F132A6" w14:textId="77777777" w:rsidR="00A069A7" w:rsidRPr="000534D7" w:rsidRDefault="00A069A7" w:rsidP="00A069A7">
      <w:pPr>
        <w:autoSpaceDE w:val="0"/>
        <w:autoSpaceDN w:val="0"/>
        <w:adjustRightInd w:val="0"/>
        <w:spacing w:before="240" w:after="240"/>
        <w:ind w:left="360"/>
        <w:rPr>
          <w:rFonts w:ascii="Calibri" w:hAnsi="Calibri" w:cs="Calibri"/>
          <w:sz w:val="22"/>
          <w:szCs w:val="22"/>
        </w:rPr>
      </w:pPr>
      <w:r w:rsidRPr="000534D7">
        <w:rPr>
          <w:rFonts w:ascii="Calibri" w:hAnsi="Calibri" w:cs="Calibri"/>
          <w:b/>
          <w:sz w:val="22"/>
          <w:szCs w:val="22"/>
        </w:rPr>
        <w:t xml:space="preserve">Thousand Cubic Feet (MCF): </w:t>
      </w:r>
      <w:r w:rsidRPr="000534D7">
        <w:rPr>
          <w:rFonts w:ascii="Calibri" w:hAnsi="Calibri" w:cs="Calibri"/>
          <w:sz w:val="22"/>
          <w:szCs w:val="22"/>
        </w:rPr>
        <w:t xml:space="preserve">1,000 Cubic Feet is abbreviated </w:t>
      </w:r>
      <w:proofErr w:type="spellStart"/>
      <w:r w:rsidRPr="000534D7">
        <w:rPr>
          <w:rFonts w:ascii="Calibri" w:hAnsi="Calibri" w:cs="Calibri"/>
          <w:sz w:val="22"/>
          <w:szCs w:val="22"/>
        </w:rPr>
        <w:t>Mcf</w:t>
      </w:r>
      <w:proofErr w:type="spellEnd"/>
      <w:r w:rsidRPr="000534D7">
        <w:rPr>
          <w:rFonts w:ascii="Calibri" w:hAnsi="Calibri" w:cs="Calibri"/>
          <w:sz w:val="22"/>
          <w:szCs w:val="22"/>
        </w:rPr>
        <w:t xml:space="preserve"> using the M to designate 1,000 as per the Roman numeral system.</w:t>
      </w:r>
      <w:r w:rsidRPr="000534D7">
        <w:rPr>
          <w:rFonts w:ascii="Calibri" w:hAnsi="Calibri" w:cs="Calibri"/>
          <w:b/>
          <w:sz w:val="22"/>
          <w:szCs w:val="22"/>
        </w:rPr>
        <w:t xml:space="preserve"> </w:t>
      </w:r>
      <w:r w:rsidRPr="000534D7">
        <w:rPr>
          <w:rFonts w:ascii="Calibri" w:hAnsi="Calibri" w:cs="Calibri"/>
          <w:sz w:val="22"/>
          <w:szCs w:val="22"/>
        </w:rPr>
        <w:t>Assuming natural gas with a Btu content of 1,000 Btu/ft</w:t>
      </w:r>
      <w:r w:rsidRPr="000534D7">
        <w:rPr>
          <w:rFonts w:ascii="Calibri" w:hAnsi="Calibri" w:cs="Calibri"/>
          <w:sz w:val="22"/>
          <w:szCs w:val="22"/>
          <w:vertAlign w:val="superscript"/>
        </w:rPr>
        <w:t>3</w:t>
      </w:r>
      <w:r w:rsidRPr="000534D7">
        <w:rPr>
          <w:rFonts w:ascii="Calibri" w:hAnsi="Calibri" w:cs="Calibri"/>
          <w:sz w:val="22"/>
          <w:szCs w:val="22"/>
        </w:rPr>
        <w:t xml:space="preserve">, 1 </w:t>
      </w:r>
      <w:proofErr w:type="spellStart"/>
      <w:r w:rsidRPr="000534D7">
        <w:rPr>
          <w:rFonts w:ascii="Calibri" w:hAnsi="Calibri" w:cs="Calibri"/>
          <w:sz w:val="22"/>
          <w:szCs w:val="22"/>
        </w:rPr>
        <w:t>Mcf</w:t>
      </w:r>
      <w:proofErr w:type="spellEnd"/>
      <w:r w:rsidRPr="000534D7">
        <w:rPr>
          <w:rFonts w:ascii="Calibri" w:hAnsi="Calibri" w:cs="Calibri"/>
          <w:sz w:val="22"/>
          <w:szCs w:val="22"/>
        </w:rPr>
        <w:t xml:space="preserve"> is roughly equal to 1 </w:t>
      </w:r>
      <w:proofErr w:type="spellStart"/>
      <w:r w:rsidRPr="000534D7">
        <w:rPr>
          <w:rFonts w:ascii="Calibri" w:hAnsi="Calibri" w:cs="Calibri"/>
          <w:sz w:val="22"/>
          <w:szCs w:val="22"/>
        </w:rPr>
        <w:t>Dth</w:t>
      </w:r>
      <w:proofErr w:type="spellEnd"/>
      <w:r w:rsidRPr="000534D7">
        <w:rPr>
          <w:rFonts w:ascii="Calibri" w:hAnsi="Calibri" w:cs="Calibri"/>
          <w:sz w:val="22"/>
          <w:szCs w:val="22"/>
        </w:rPr>
        <w:t>. Note that because natural gas is delivered with varying Btu content/ft</w:t>
      </w:r>
      <w:r w:rsidRPr="000534D7">
        <w:rPr>
          <w:rFonts w:ascii="Calibri" w:hAnsi="Calibri" w:cs="Calibri"/>
          <w:sz w:val="22"/>
          <w:szCs w:val="22"/>
          <w:vertAlign w:val="superscript"/>
        </w:rPr>
        <w:t>3</w:t>
      </w:r>
      <w:r w:rsidRPr="000534D7">
        <w:rPr>
          <w:rFonts w:ascii="Calibri" w:hAnsi="Calibri" w:cs="Calibri"/>
          <w:sz w:val="22"/>
          <w:szCs w:val="22"/>
        </w:rPr>
        <w:t xml:space="preserve"> this approximation is only roughly accurate.</w:t>
      </w:r>
    </w:p>
    <w:p w14:paraId="65310748" w14:textId="77777777" w:rsidR="004D762A" w:rsidRDefault="004D762A"/>
    <w:sectPr w:rsidR="004D7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41F79"/>
    <w:multiLevelType w:val="hybridMultilevel"/>
    <w:tmpl w:val="459E0C88"/>
    <w:lvl w:ilvl="0" w:tplc="04090013">
      <w:start w:val="1"/>
      <w:numFmt w:val="upperRoman"/>
      <w:lvlText w:val="%1."/>
      <w:lvlJc w:val="right"/>
      <w:pPr>
        <w:ind w:left="1080" w:hanging="720"/>
      </w:pPr>
      <w:rPr>
        <w:rFonts w:hint="default"/>
      </w:rPr>
    </w:lvl>
    <w:lvl w:ilvl="1" w:tplc="D610A8FC">
      <w:start w:val="1"/>
      <w:numFmt w:val="upperLetter"/>
      <w:lvlText w:val="%2."/>
      <w:lvlJc w:val="left"/>
      <w:pPr>
        <w:ind w:left="1260" w:hanging="360"/>
      </w:pPr>
      <w:rPr>
        <w:sz w:val="28"/>
        <w:szCs w:val="28"/>
      </w:rPr>
    </w:lvl>
    <w:lvl w:ilvl="2" w:tplc="C7F21FE4">
      <w:start w:val="1"/>
      <w:numFmt w:val="lowerRoman"/>
      <w:lvlText w:val="%3."/>
      <w:lvlJc w:val="right"/>
      <w:pPr>
        <w:ind w:left="2160" w:hanging="180"/>
      </w:pPr>
      <w:rPr>
        <w:rFonts w:ascii="Calibri" w:hAnsi="Calibri" w:cs="Calibri" w:hint="default"/>
        <w:b/>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A7"/>
    <w:rsid w:val="00085FE0"/>
    <w:rsid w:val="0011038D"/>
    <w:rsid w:val="002E3706"/>
    <w:rsid w:val="003623C1"/>
    <w:rsid w:val="004D762A"/>
    <w:rsid w:val="005F44B0"/>
    <w:rsid w:val="00763947"/>
    <w:rsid w:val="007B4173"/>
    <w:rsid w:val="00A069A7"/>
    <w:rsid w:val="00A62055"/>
    <w:rsid w:val="00D6469D"/>
    <w:rsid w:val="00DD7B7A"/>
    <w:rsid w:val="00E60CEE"/>
    <w:rsid w:val="00F7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EA62"/>
  <w15:docId w15:val="{A0C8FD18-EDEC-446A-874C-A97DC879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9A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A069A7"/>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069A7"/>
    <w:rPr>
      <w:rFonts w:ascii="Cambria" w:eastAsia="Times New Roman" w:hAnsi="Cambria" w:cs="Times New Roman"/>
      <w:b/>
      <w:bCs/>
      <w:i/>
      <w:iCs/>
      <w:sz w:val="28"/>
      <w:szCs w:val="28"/>
      <w:lang w:val="x-none" w:eastAsia="x-none"/>
    </w:rPr>
  </w:style>
  <w:style w:type="character" w:styleId="CommentReference">
    <w:name w:val="annotation reference"/>
    <w:basedOn w:val="DefaultParagraphFont"/>
    <w:uiPriority w:val="99"/>
    <w:semiHidden/>
    <w:unhideWhenUsed/>
    <w:rsid w:val="00DD7B7A"/>
    <w:rPr>
      <w:sz w:val="16"/>
      <w:szCs w:val="16"/>
    </w:rPr>
  </w:style>
  <w:style w:type="paragraph" w:styleId="CommentText">
    <w:name w:val="annotation text"/>
    <w:basedOn w:val="Normal"/>
    <w:link w:val="CommentTextChar"/>
    <w:uiPriority w:val="99"/>
    <w:semiHidden/>
    <w:unhideWhenUsed/>
    <w:rsid w:val="00DD7B7A"/>
    <w:rPr>
      <w:sz w:val="20"/>
      <w:szCs w:val="20"/>
    </w:rPr>
  </w:style>
  <w:style w:type="character" w:customStyle="1" w:styleId="CommentTextChar">
    <w:name w:val="Comment Text Char"/>
    <w:basedOn w:val="DefaultParagraphFont"/>
    <w:link w:val="CommentText"/>
    <w:uiPriority w:val="99"/>
    <w:semiHidden/>
    <w:rsid w:val="00DD7B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B7A"/>
    <w:rPr>
      <w:b/>
      <w:bCs/>
    </w:rPr>
  </w:style>
  <w:style w:type="character" w:customStyle="1" w:styleId="CommentSubjectChar">
    <w:name w:val="Comment Subject Char"/>
    <w:basedOn w:val="CommentTextChar"/>
    <w:link w:val="CommentSubject"/>
    <w:uiPriority w:val="99"/>
    <w:semiHidden/>
    <w:rsid w:val="00DD7B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7B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B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 ESTREMERA JIMENEZ</dc:creator>
  <cp:lastModifiedBy>Maritza Estremera</cp:lastModifiedBy>
  <cp:revision>2</cp:revision>
  <dcterms:created xsi:type="dcterms:W3CDTF">2019-12-03T18:39:00Z</dcterms:created>
  <dcterms:modified xsi:type="dcterms:W3CDTF">2019-12-03T18:39:00Z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-1306247573</vt:i4>
  </property>
  <property fmtid="{D5CDD505-2E9C-101B-9397-08002B2CF9AE}" pid="4" name="_EmailSubject">
    <vt:lpwstr>NYSEG Lansing Non-Pipe Alternative Request for Proposal</vt:lpwstr>
  </property>
  <property fmtid="{D5CDD505-2E9C-101B-9397-08002B2CF9AE}" pid="5" name="_AuthorEmail">
    <vt:lpwstr>lansingnpa@avangrid.com</vt:lpwstr>
  </property>
  <property fmtid="{D5CDD505-2E9C-101B-9397-08002B2CF9AE}" pid="6" name="_AuthorEmailDisplayName">
    <vt:lpwstr>Lansing NPA RFP Mailbox</vt:lpwstr>
  </property>
</Properties>
</file>